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B6F1C">
      <w:r>
        <w:t>ICS</w:t>
      </w:r>
      <w:r>
        <w:rPr>
          <w:rFonts w:hint="eastAsia"/>
        </w:rPr>
        <w:t xml:space="preserve">   </w:t>
      </w:r>
      <w:r>
        <w:t>XX</w:t>
      </w:r>
      <w:r>
        <w:rPr>
          <w:rFonts w:hint="eastAsia"/>
        </w:rPr>
        <w:t>.</w:t>
      </w:r>
      <w:r>
        <w:t>XXX</w:t>
      </w:r>
      <w:r>
        <w:rPr>
          <w:rFonts w:hint="eastAsia"/>
        </w:rPr>
        <w:t>.</w:t>
      </w:r>
      <w:r>
        <w:t>XX</w:t>
      </w:r>
    </w:p>
    <w:p w14:paraId="5796C441">
      <w:r>
        <w:rPr>
          <w:rFonts w:hint="eastAsia"/>
        </w:rPr>
        <w:t xml:space="preserve">CCD  </w:t>
      </w:r>
      <w:r>
        <w:t>B</w:t>
      </w:r>
      <w:r>
        <w:rPr>
          <w:rFonts w:hint="eastAsia"/>
        </w:rPr>
        <w:t xml:space="preserve"> </w:t>
      </w:r>
      <w:r>
        <w:t>XX</w:t>
      </w:r>
    </w:p>
    <w:p w14:paraId="21651DC4">
      <w:pPr>
        <w:autoSpaceDE w:val="0"/>
        <w:autoSpaceDN w:val="0"/>
        <w:adjustRightInd w:val="0"/>
        <w:jc w:val="right"/>
        <w:rPr>
          <w:rFonts w:ascii="Times New Roman" w:hAnsi="Times New Roman" w:eastAsia="黑体"/>
          <w:b/>
          <w:bCs/>
          <w:spacing w:val="100"/>
          <w:kern w:val="0"/>
          <w:sz w:val="144"/>
          <w:szCs w:val="144"/>
        </w:rPr>
      </w:pPr>
      <w:r>
        <w:rPr>
          <w:rFonts w:ascii="Times New Roman" w:hAnsi="Times New Roman" w:eastAsia="黑体"/>
          <w:b/>
          <w:bCs/>
          <w:spacing w:val="100"/>
          <w:kern w:val="0"/>
          <w:sz w:val="144"/>
          <w:szCs w:val="144"/>
        </w:rPr>
        <w:t>DB61</w:t>
      </w:r>
    </w:p>
    <w:p w14:paraId="221C93B2">
      <w:pPr>
        <w:autoSpaceDE w:val="0"/>
        <w:autoSpaceDN w:val="0"/>
        <w:adjustRightInd w:val="0"/>
        <w:ind w:left="634" w:hanging="634" w:hangingChars="100"/>
        <w:jc w:val="center"/>
        <w:rPr>
          <w:rFonts w:eastAsia="黑体"/>
          <w:b/>
          <w:bCs/>
          <w:spacing w:val="100"/>
          <w:kern w:val="0"/>
          <w:sz w:val="44"/>
          <w:szCs w:val="44"/>
        </w:rPr>
      </w:pPr>
      <w:r>
        <w:rPr>
          <w:rFonts w:hint="eastAsia" w:eastAsia="黑体"/>
          <w:spacing w:val="57"/>
          <w:kern w:val="0"/>
          <w:sz w:val="52"/>
          <w:szCs w:val="52"/>
        </w:rPr>
        <w:t>陕  西  省  地  方  标  准</w:t>
      </w:r>
    </w:p>
    <w:p w14:paraId="113A39F7">
      <w:pPr>
        <w:autoSpaceDE w:val="0"/>
        <w:autoSpaceDN w:val="0"/>
        <w:adjustRightInd w:val="0"/>
        <w:ind w:firstLine="3520" w:firstLineChars="800"/>
        <w:jc w:val="right"/>
        <w:rPr>
          <w:rFonts w:ascii="黑体" w:hAnsi="黑体" w:eastAsia="黑体" w:cs="黑体"/>
          <w:spacing w:val="100"/>
          <w:kern w:val="0"/>
          <w:sz w:val="24"/>
        </w:rPr>
      </w:pPr>
      <w:r>
        <w:rPr>
          <w:rFonts w:hint="eastAsia" w:ascii="黑体" w:hAnsi="黑体" w:eastAsia="黑体" w:cs="黑体"/>
          <w:spacing w:val="100"/>
          <w:kern w:val="0"/>
          <w:sz w:val="24"/>
        </w:rPr>
        <w:t>DB61/T XXXX-XXXX</w:t>
      </w:r>
    </w:p>
    <w:p w14:paraId="1A2F1674">
      <w:pPr>
        <w:autoSpaceDE w:val="0"/>
        <w:autoSpaceDN w:val="0"/>
        <w:adjustRightInd w:val="0"/>
        <w:ind w:firstLine="3520" w:firstLineChars="800"/>
        <w:jc w:val="right"/>
        <w:rPr>
          <w:rFonts w:ascii="黑体" w:hAnsi="黑体" w:eastAsia="黑体" w:cs="黑体"/>
          <w:spacing w:val="100"/>
          <w:kern w:val="0"/>
          <w:sz w:val="24"/>
        </w:rPr>
      </w:pPr>
    </w:p>
    <w:p w14:paraId="06AA9A12">
      <w:pPr>
        <w:spacing w:line="380" w:lineRule="exact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6271260" cy="5080"/>
                <wp:effectExtent l="0" t="4445" r="2540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1260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.8pt;height:0.4pt;width:493.8pt;z-index:251660288;mso-width-relative:page;mso-height-relative:page;" filled="f" stroked="t" coordsize="21600,21600" o:gfxdata="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now2TVAAAA&#10;BgEAAA8AAAAAAAAAAQAgAAAAIgAAAGRycy9kb3ducmV2LnhtbFBLAQIUABQAAAAIAIdO4kAoGJNM&#10;5wEAAK0DAAAOAAAAAAAAAAEAIAAAACQ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E846C3C">
      <w:pPr>
        <w:spacing w:line="380" w:lineRule="exact"/>
        <w:rPr>
          <w:b/>
          <w:sz w:val="32"/>
          <w:szCs w:val="32"/>
        </w:rPr>
      </w:pPr>
    </w:p>
    <w:p w14:paraId="00DBB52B">
      <w:pPr>
        <w:spacing w:line="380" w:lineRule="exact"/>
        <w:ind w:firstLine="525" w:firstLineChars="250"/>
        <w:rPr>
          <w:szCs w:val="21"/>
        </w:rPr>
      </w:pPr>
    </w:p>
    <w:p w14:paraId="791F6A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jc w:val="center"/>
        <w:textAlignment w:val="auto"/>
        <w:rPr>
          <w:rFonts w:hint="eastAsia" w:ascii="黑体" w:hAnsi="Times New Roman" w:eastAsia="黑体" w:cs="Times New Roman"/>
          <w:kern w:val="0"/>
          <w:sz w:val="48"/>
          <w:szCs w:val="48"/>
          <w:lang w:val="en-US" w:eastAsia="zh-CN" w:bidi="ar-SA"/>
        </w:rPr>
      </w:pPr>
    </w:p>
    <w:p w14:paraId="7D8C289E">
      <w:pPr>
        <w:pStyle w:val="2"/>
        <w:widowControl/>
        <w:kinsoku w:val="0"/>
        <w:autoSpaceDE w:val="0"/>
        <w:autoSpaceDN w:val="0"/>
        <w:adjustRightInd w:val="0"/>
        <w:snapToGrid w:val="0"/>
        <w:spacing w:before="169" w:after="0" w:line="223" w:lineRule="auto"/>
        <w:jc w:val="center"/>
        <w:textAlignment w:val="baseline"/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val="en-US" w:eastAsia="zh-CN"/>
        </w:rPr>
        <w:t>牛羊无布鲁氏菌病区建设</w:t>
      </w:r>
    </w:p>
    <w:p w14:paraId="68FA5BD2">
      <w:pPr>
        <w:pStyle w:val="2"/>
        <w:widowControl/>
        <w:kinsoku w:val="0"/>
        <w:autoSpaceDE w:val="0"/>
        <w:autoSpaceDN w:val="0"/>
        <w:adjustRightInd w:val="0"/>
        <w:snapToGrid w:val="0"/>
        <w:spacing w:before="169" w:after="0" w:line="223" w:lineRule="auto"/>
        <w:jc w:val="center"/>
        <w:textAlignment w:val="baseline"/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eastAsia="en-US"/>
        </w:rPr>
        <w:t>第</w:t>
      </w: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val="en-US" w:eastAsia="zh-CN"/>
        </w:rPr>
        <w:t>3</w:t>
      </w: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eastAsia="en-US"/>
        </w:rPr>
        <w:t>部分</w:t>
      </w: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eastAsia="zh-CN"/>
        </w:rPr>
        <w:t>：</w:t>
      </w: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52"/>
          <w:szCs w:val="52"/>
          <w:lang w:eastAsia="en-US"/>
        </w:rPr>
        <w:t>检查消毒站(点)</w:t>
      </w:r>
    </w:p>
    <w:p w14:paraId="3E093FAF">
      <w:pPr>
        <w:pStyle w:val="2"/>
        <w:widowControl/>
        <w:kinsoku w:val="0"/>
        <w:autoSpaceDE w:val="0"/>
        <w:autoSpaceDN w:val="0"/>
        <w:adjustRightInd w:val="0"/>
        <w:snapToGrid w:val="0"/>
        <w:spacing w:before="169" w:after="0" w:line="223" w:lineRule="auto"/>
        <w:jc w:val="center"/>
        <w:textAlignment w:val="baseline"/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</w:pPr>
    </w:p>
    <w:p w14:paraId="45129AA4">
      <w:pPr>
        <w:pStyle w:val="2"/>
        <w:widowControl/>
        <w:kinsoku w:val="0"/>
        <w:autoSpaceDE w:val="0"/>
        <w:autoSpaceDN w:val="0"/>
        <w:adjustRightInd w:val="0"/>
        <w:snapToGrid w:val="0"/>
        <w:spacing w:before="169" w:after="0" w:line="223" w:lineRule="auto"/>
        <w:jc w:val="center"/>
        <w:textAlignment w:val="baseline"/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</w:pPr>
      <w:r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  <w:t>Construction of Cattle and Sheep Brucellosis Free Compartement</w:t>
      </w:r>
    </w:p>
    <w:p w14:paraId="13769899">
      <w:pPr>
        <w:pStyle w:val="2"/>
        <w:widowControl/>
        <w:kinsoku w:val="0"/>
        <w:autoSpaceDE w:val="0"/>
        <w:autoSpaceDN w:val="0"/>
        <w:adjustRightInd w:val="0"/>
        <w:snapToGrid w:val="0"/>
        <w:spacing w:before="169" w:after="0" w:line="223" w:lineRule="auto"/>
        <w:jc w:val="center"/>
        <w:textAlignment w:val="baseline"/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</w:pPr>
      <w:r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  <w:t xml:space="preserve">—Part </w:t>
      </w:r>
      <w:r>
        <w:rPr>
          <w:rFonts w:hint="eastAsia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  <w:t>:</w:t>
      </w:r>
      <w:r>
        <w:rPr>
          <w:rFonts w:hint="eastAsia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napToGrid w:val="0"/>
          <w:color w:val="000000"/>
          <w:spacing w:val="-5"/>
          <w:kern w:val="0"/>
          <w:sz w:val="28"/>
          <w:szCs w:val="28"/>
          <w:lang w:eastAsia="en-US"/>
        </w:rPr>
        <w:t xml:space="preserve">Inspection and Disinfection Stations (Points) </w:t>
      </w:r>
    </w:p>
    <w:p w14:paraId="3807E644">
      <w:pPr>
        <w:jc w:val="center"/>
        <w:rPr>
          <w:rFonts w:hint="eastAsia" w:ascii="宋体" w:hAnsi="宋体" w:cs="宋体"/>
          <w:sz w:val="32"/>
          <w:szCs w:val="32"/>
          <w:lang w:val="en-US" w:eastAsia="zh-CN"/>
        </w:rPr>
      </w:pPr>
    </w:p>
    <w:p w14:paraId="2AE24BBA">
      <w:pPr>
        <w:jc w:val="center"/>
        <w:rPr>
          <w:rFonts w:hint="eastAsia" w:ascii="Times New Roman" w:hAnsi="Times New Roman" w:eastAsia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(征求意见稿）</w:t>
      </w:r>
    </w:p>
    <w:p w14:paraId="59E9BB94">
      <w:pPr>
        <w:spacing w:line="380" w:lineRule="exact"/>
        <w:rPr>
          <w:b/>
          <w:sz w:val="24"/>
        </w:rPr>
      </w:pPr>
    </w:p>
    <w:p w14:paraId="0FB8090F">
      <w:pPr>
        <w:spacing w:line="380" w:lineRule="exact"/>
        <w:rPr>
          <w:b/>
          <w:sz w:val="24"/>
        </w:rPr>
      </w:pPr>
    </w:p>
    <w:p w14:paraId="3ADA1C69">
      <w:pPr>
        <w:spacing w:line="380" w:lineRule="exact"/>
        <w:rPr>
          <w:b/>
          <w:sz w:val="24"/>
        </w:rPr>
      </w:pPr>
    </w:p>
    <w:p w14:paraId="3F85EE77">
      <w:pPr>
        <w:spacing w:line="380" w:lineRule="exact"/>
        <w:rPr>
          <w:b/>
          <w:sz w:val="24"/>
        </w:rPr>
      </w:pPr>
    </w:p>
    <w:p w14:paraId="1AF4CFC4">
      <w:pPr>
        <w:spacing w:line="380" w:lineRule="exact"/>
        <w:rPr>
          <w:b/>
          <w:sz w:val="24"/>
        </w:rPr>
      </w:pPr>
    </w:p>
    <w:p w14:paraId="44B84F95">
      <w:pPr>
        <w:spacing w:line="380" w:lineRule="exact"/>
        <w:rPr>
          <w:b/>
          <w:sz w:val="24"/>
        </w:rPr>
      </w:pPr>
    </w:p>
    <w:p w14:paraId="3FE8F98E">
      <w:pPr>
        <w:spacing w:line="380" w:lineRule="exact"/>
        <w:rPr>
          <w:b/>
          <w:sz w:val="24"/>
        </w:rPr>
      </w:pPr>
    </w:p>
    <w:p w14:paraId="731FC027">
      <w:pPr>
        <w:spacing w:line="380" w:lineRule="exact"/>
        <w:jc w:val="left"/>
        <w:rPr>
          <w:rFonts w:eastAsia="黑体"/>
          <w:b/>
          <w:sz w:val="24"/>
        </w:rPr>
      </w:pPr>
      <w:r>
        <w:rPr>
          <w:rFonts w:hint="eastAsia" w:ascii="黑体" w:hAnsi="黑体" w:eastAsia="黑体" w:cs="黑体"/>
          <w:bCs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230505</wp:posOffset>
                </wp:positionV>
                <wp:extent cx="6165850" cy="20320"/>
                <wp:effectExtent l="0" t="4445" r="6350" b="1333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5850" cy="20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8pt;margin-top:18.15pt;height:1.6pt;width:485.5pt;z-index:251661312;mso-width-relative:page;mso-height-relative:page;" filled="f" stroked="t" coordsize="21600,21600" o:gfxdata="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zJL8A1AAA&#10;AAcBAAAPAAAAAAAAAAEAIAAAACIAAABkcnMvZG93bnJldi54bWxQSwECFAAUAAAACACHTuJAkJ6i&#10;XOkBAACuAwAADgAAAAAAAAABACAAAAAj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Cs/>
          <w:sz w:val="24"/>
        </w:rPr>
        <w:t xml:space="preserve"> 20××-××-××发布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        </w:t>
      </w:r>
      <w:r>
        <w:rPr>
          <w:rFonts w:hint="eastAsia"/>
          <w:b/>
          <w:sz w:val="24"/>
        </w:rPr>
        <w:t xml:space="preserve">            </w:t>
      </w:r>
      <w:r>
        <w:rPr>
          <w:rFonts w:hint="eastAsia" w:ascii="黑体" w:hAnsi="黑体" w:eastAsia="黑体" w:cs="黑体"/>
          <w:bCs/>
          <w:sz w:val="24"/>
        </w:rPr>
        <w:t>20××-××-××实施</w:t>
      </w:r>
    </w:p>
    <w:p w14:paraId="7E79126D">
      <w:pPr>
        <w:jc w:val="center"/>
        <w:rPr>
          <w:rFonts w:hint="eastAsia" w:ascii="黑体" w:hAnsi="黑体" w:eastAsia="黑体" w:cs="黑体"/>
          <w:bCs/>
          <w:spacing w:val="100"/>
          <w:kern w:val="0"/>
          <w:sz w:val="32"/>
          <w:szCs w:val="32"/>
        </w:rPr>
        <w:sectPr>
          <w:footerReference r:id="rId3" w:type="default"/>
          <w:pgSz w:w="11906" w:h="16838"/>
          <w:pgMar w:top="1383" w:right="1009" w:bottom="1440" w:left="952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bCs/>
          <w:spacing w:val="100"/>
          <w:kern w:val="0"/>
          <w:sz w:val="32"/>
          <w:szCs w:val="32"/>
        </w:rPr>
        <w:t>陕西省市场监督管理局 发布</w:t>
      </w:r>
    </w:p>
    <w:p w14:paraId="64FDD425">
      <w:pPr>
        <w:jc w:val="center"/>
        <w:rPr>
          <w:rFonts w:hint="eastAsia" w:ascii="黑体" w:hAnsi="黑体" w:eastAsia="黑体" w:cs="黑体"/>
          <w:bCs/>
          <w:spacing w:val="100"/>
          <w:kern w:val="0"/>
          <w:sz w:val="32"/>
          <w:szCs w:val="32"/>
        </w:rPr>
        <w:sectPr>
          <w:pgSz w:w="11906" w:h="16838"/>
          <w:pgMar w:top="1383" w:right="1009" w:bottom="1440" w:left="952" w:header="851" w:footer="992" w:gutter="0"/>
          <w:pgNumType w:fmt="numberInDash"/>
          <w:cols w:space="720" w:num="1"/>
          <w:docGrid w:type="lines" w:linePitch="312" w:charSpace="0"/>
        </w:sectPr>
      </w:pPr>
    </w:p>
    <w:p w14:paraId="2E684DCD"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 w:cs="黑体"/>
          <w:kern w:val="0"/>
          <w:sz w:val="32"/>
          <w:szCs w:val="32"/>
        </w:rPr>
      </w:pPr>
    </w:p>
    <w:p w14:paraId="7CE588C1"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目   次</w:t>
      </w:r>
    </w:p>
    <w:p w14:paraId="6AC2BAC6">
      <w:pPr>
        <w:pStyle w:val="6"/>
        <w:tabs>
          <w:tab w:val="right" w:leader="dot" w:pos="8296"/>
        </w:tabs>
        <w:spacing w:line="240" w:lineRule="auto"/>
        <w:jc w:val="center"/>
        <w:rPr>
          <w:rFonts w:hint="default" w:ascii="Times New Roman" w:hAnsi="Times New Roman" w:cs="Times New Roman"/>
          <w:kern w:val="2"/>
          <w:sz w:val="20"/>
          <w:szCs w:val="20"/>
        </w:rPr>
      </w:pP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TOC \o "1-3" \h \z \u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"_Toc93653378"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>前言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</w:rPr>
        <w:t>Ⅱ</w:t>
      </w:r>
      <w:r>
        <w:rPr>
          <w:rFonts w:hint="default" w:ascii="Times New Roman" w:hAnsi="Times New Roman" w:eastAsia="微软雅黑" w:cs="Times New Roman"/>
          <w:sz w:val="20"/>
          <w:szCs w:val="20"/>
        </w:rPr>
        <w:fldChar w:fldCharType="end"/>
      </w:r>
    </w:p>
    <w:p w14:paraId="5792C283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kern w:val="2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"_Toc93653379"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>1 范围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1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5D9A17FE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kern w:val="2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"_Toc93653380"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>2 规范性文件引用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1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4CAFF206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kern w:val="2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"_Toc93653381"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3 </w:t>
      </w:r>
      <w:r>
        <w:rPr>
          <w:rFonts w:hint="default" w:ascii="Times New Roman" w:hAnsi="Times New Roman" w:cs="Times New Roman"/>
          <w:kern w:val="2"/>
          <w:sz w:val="20"/>
          <w:szCs w:val="20"/>
        </w:rPr>
        <w:t>术语和定义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1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4DCD3046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kern w:val="2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"_Toc93653386"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4 </w:t>
      </w:r>
      <w:r>
        <w:rPr>
          <w:rStyle w:val="10"/>
          <w:rFonts w:hint="eastAsia" w:ascii="Times New Roman" w:hAnsi="Times New Roman" w:cs="Times New Roman"/>
          <w:sz w:val="20"/>
          <w:szCs w:val="20"/>
          <w:lang w:eastAsia="zh-CN"/>
        </w:rPr>
        <w:t>调入</w:t>
      </w:r>
      <w:r>
        <w:rPr>
          <w:rStyle w:val="10"/>
          <w:rFonts w:hint="default" w:ascii="Times New Roman" w:hAnsi="Times New Roman" w:cs="Times New Roman"/>
          <w:sz w:val="20"/>
          <w:szCs w:val="20"/>
        </w:rPr>
        <w:t>原则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2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2818BB94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5 </w:t>
      </w:r>
      <w:r>
        <w:rPr>
          <w:rStyle w:val="10"/>
          <w:rFonts w:hint="eastAsia" w:ascii="Times New Roman" w:hAnsi="Times New Roman" w:cs="Times New Roman"/>
          <w:sz w:val="20"/>
          <w:szCs w:val="20"/>
          <w:lang w:eastAsia="zh-CN"/>
        </w:rPr>
        <w:t>建设要求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2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1E2BE98C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eastAsia" w:ascii="Times New Roman" w:hAnsi="Times New Roman" w:cs="Times New Roman"/>
          <w:sz w:val="20"/>
          <w:szCs w:val="20"/>
          <w:lang w:val="en-US" w:eastAsia="zh-CN"/>
        </w:rPr>
        <w:t>6</w:t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 程序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2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4E58DEAE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eastAsia" w:ascii="Times New Roman" w:hAnsi="Times New Roman" w:cs="Times New Roman"/>
          <w:sz w:val="20"/>
          <w:szCs w:val="20"/>
          <w:lang w:val="en-US" w:eastAsia="zh-CN"/>
        </w:rPr>
        <w:t>7</w:t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 处理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1A6D972A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8 </w:t>
      </w:r>
      <w:r>
        <w:rPr>
          <w:rStyle w:val="10"/>
          <w:rFonts w:hint="eastAsia" w:ascii="Times New Roman" w:hAnsi="Times New Roman" w:cs="Times New Roman"/>
          <w:sz w:val="20"/>
          <w:szCs w:val="20"/>
          <w:lang w:eastAsia="zh-CN"/>
        </w:rPr>
        <w:t>安全与环保要求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4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76260B2E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10"/>
          <w:rFonts w:hint="eastAsia" w:ascii="Times New Roman" w:hAnsi="Times New Roman" w:cs="Times New Roman"/>
          <w:sz w:val="20"/>
          <w:szCs w:val="20"/>
          <w:lang w:val="en-US" w:eastAsia="zh-CN"/>
        </w:rPr>
        <w:t>9</w:t>
      </w:r>
      <w:r>
        <w:rPr>
          <w:rStyle w:val="10"/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Style w:val="10"/>
          <w:rFonts w:hint="eastAsia" w:ascii="Times New Roman" w:hAnsi="Times New Roman" w:cs="Times New Roman"/>
          <w:sz w:val="20"/>
          <w:szCs w:val="20"/>
          <w:lang w:eastAsia="zh-CN"/>
        </w:rPr>
        <w:t>运行管理要求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4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4BC2C943">
      <w:pPr>
        <w:pStyle w:val="6"/>
        <w:tabs>
          <w:tab w:val="right" w:leader="dot" w:pos="8296"/>
        </w:tabs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\l "_Toc93653387"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Fonts w:hint="default" w:ascii="Times New Roman" w:hAnsi="Times New Roman" w:cs="Times New Roman"/>
          <w:sz w:val="20"/>
          <w:szCs w:val="20"/>
        </w:rPr>
        <w:t>附录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fldChar w:fldCharType="end"/>
      </w:r>
    </w:p>
    <w:p w14:paraId="7F28D79E">
      <w:pPr>
        <w:rPr>
          <w:rFonts w:hint="default" w:ascii="Times New Roman" w:hAnsi="Times New Roman" w:cs="Times New Roman"/>
          <w:sz w:val="22"/>
          <w:szCs w:val="22"/>
        </w:rPr>
      </w:pPr>
    </w:p>
    <w:p w14:paraId="7B9CDAC4">
      <w:pPr>
        <w:autoSpaceDE w:val="0"/>
        <w:autoSpaceDN w:val="0"/>
        <w:adjustRightInd w:val="0"/>
        <w:jc w:val="center"/>
        <w:rPr>
          <w:rFonts w:ascii="Times New Roman" w:hAnsi="Times New Roman" w:eastAsia="黑体" w:cs="黑体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zh-CN"/>
        </w:rPr>
        <w:fldChar w:fldCharType="end"/>
      </w:r>
    </w:p>
    <w:p w14:paraId="7A6B8CE3">
      <w:pPr>
        <w:tabs>
          <w:tab w:val="left" w:pos="486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39DC7E4A"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65DAD568">
      <w:pPr>
        <w:bidi w:val="0"/>
        <w:rPr>
          <w:rFonts w:hint="eastAsia"/>
          <w:lang w:val="en-US" w:eastAsia="zh-CN"/>
        </w:rPr>
      </w:pPr>
    </w:p>
    <w:p w14:paraId="1ED4D5BD">
      <w:pPr>
        <w:bidi w:val="0"/>
        <w:rPr>
          <w:rFonts w:hint="eastAsia"/>
          <w:lang w:val="en-US" w:eastAsia="zh-CN"/>
        </w:rPr>
      </w:pPr>
    </w:p>
    <w:p w14:paraId="171EB9A0">
      <w:pPr>
        <w:tabs>
          <w:tab w:val="left" w:pos="5935"/>
        </w:tabs>
        <w:bidi w:val="0"/>
        <w:jc w:val="left"/>
        <w:rPr>
          <w:rFonts w:hint="eastAsia"/>
          <w:lang w:val="en-US" w:eastAsia="zh-CN"/>
        </w:rPr>
        <w:sectPr>
          <w:footerReference r:id="rId4" w:type="default"/>
          <w:pgSz w:w="11906" w:h="16838"/>
          <w:pgMar w:top="1383" w:right="1293" w:bottom="1440" w:left="1293" w:header="851" w:footer="992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</w:p>
    <w:p w14:paraId="1222A973">
      <w:pPr>
        <w:autoSpaceDE w:val="0"/>
        <w:autoSpaceDN w:val="0"/>
        <w:adjustRightInd w:val="0"/>
        <w:rPr>
          <w:rFonts w:ascii="黑体" w:hAnsi="黑体" w:eastAsia="黑体" w:cs="黑体"/>
          <w:sz w:val="40"/>
          <w:szCs w:val="40"/>
        </w:rPr>
      </w:pPr>
    </w:p>
    <w:p w14:paraId="2AFD240D">
      <w:pPr>
        <w:spacing w:line="360" w:lineRule="auto"/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前  言</w:t>
      </w:r>
    </w:p>
    <w:p w14:paraId="1C34EB98">
      <w:pPr>
        <w:spacing w:line="360" w:lineRule="auto"/>
        <w:jc w:val="center"/>
        <w:rPr>
          <w:rFonts w:ascii="黑体" w:hAnsi="黑体" w:eastAsia="黑体" w:cs="黑体"/>
          <w:sz w:val="20"/>
          <w:szCs w:val="20"/>
        </w:rPr>
      </w:pPr>
    </w:p>
    <w:p w14:paraId="1D76DA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本文件按照GB/T 1.1-2020《标准化工作导引 第1部分：标准化文件的结果和起草》的规定起草。</w:t>
      </w:r>
    </w:p>
    <w:p w14:paraId="7A4080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本文件是DB61/T XXXX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>-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 xml:space="preserve"> XXXX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《牛羊无布鲁氏菌病区建设》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系列标准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的第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部分。DB61/T XXXX- XXXX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系列标准还包含以下部分：</w:t>
      </w:r>
    </w:p>
    <w:p w14:paraId="11E44E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——第1部分：传入风险定量评估</w:t>
      </w:r>
    </w:p>
    <w:p w14:paraId="29FCA36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——第2部分：宣传干预</w:t>
      </w:r>
    </w:p>
    <w:p w14:paraId="665E0D3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——第3部分：检查消毒站(点)</w:t>
      </w:r>
    </w:p>
    <w:p w14:paraId="02F7D6F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——第4部分：检疫监管</w:t>
      </w:r>
    </w:p>
    <w:p w14:paraId="25BFFC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——第5部分：饲养管理</w:t>
      </w:r>
    </w:p>
    <w:p w14:paraId="5D00DB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——第6部分：应急管理</w:t>
      </w:r>
    </w:p>
    <w:p w14:paraId="583C89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本文件由陕西省农业农村厅提出并归口。</w:t>
      </w:r>
    </w:p>
    <w:p w14:paraId="29C18EB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本文件起草单位：商洛市动物疫病预防控制中心、陕西省动物卫生与屠宰管理站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。</w:t>
      </w:r>
    </w:p>
    <w:p w14:paraId="4C538D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本文件主要起草人：边青青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、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许建勋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、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任晓玲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、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姜健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eastAsia="zh-CN"/>
        </w:rPr>
        <w:t>、李凝、杨晨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>、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余建桥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>、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樊亚荣</w:t>
      </w: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  <w:lang w:val="en-US" w:eastAsia="zh-CN"/>
        </w:rPr>
        <w:t>、王阳、贺驭、罗卉卉、周敏等。</w:t>
      </w:r>
    </w:p>
    <w:p w14:paraId="05B3AE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本文件由商洛市动物疫病预防控制中心负责解释。</w:t>
      </w:r>
    </w:p>
    <w:p w14:paraId="3E1F4B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本文件首次发布。</w:t>
      </w:r>
    </w:p>
    <w:p w14:paraId="06A31F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</w:p>
    <w:p w14:paraId="43EBB5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联系信息如下：</w:t>
      </w:r>
    </w:p>
    <w:p w14:paraId="433316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单位：商洛市动物疫病预防控制中心</w:t>
      </w:r>
    </w:p>
    <w:p w14:paraId="36CBC70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电话：0914-2312326</w:t>
      </w:r>
    </w:p>
    <w:p w14:paraId="021E1E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default" w:ascii="Times New Roman" w:hAnsi="Times New Roman" w:eastAsia="2CHfFuNF+SimSun" w:cs="Times New Roman"/>
          <w:color w:val="000000"/>
          <w:spacing w:val="-1"/>
          <w:sz w:val="20"/>
          <w:szCs w:val="20"/>
        </w:r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地址：陕西省商洛市商州区商中路22号</w:t>
      </w:r>
    </w:p>
    <w:p w14:paraId="4C8DA8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396" w:firstLineChars="200"/>
        <w:textAlignment w:val="auto"/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sectPr>
          <w:footerReference r:id="rId5" w:type="default"/>
          <w:pgSz w:w="11906" w:h="16838"/>
          <w:pgMar w:top="1383" w:right="1293" w:bottom="1440" w:left="1293" w:header="851" w:footer="992" w:gutter="0"/>
          <w:pgNumType w:fmt="upperRoman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2CHfFuNF+SimSun" w:cs="Times New Roman"/>
          <w:color w:val="000000"/>
          <w:spacing w:val="-1"/>
          <w:sz w:val="20"/>
          <w:szCs w:val="20"/>
        </w:rPr>
        <w:t>邮编：72600</w:t>
      </w:r>
    </w:p>
    <w:p w14:paraId="30E953F1">
      <w:pPr>
        <w:spacing w:before="70" w:line="188" w:lineRule="auto"/>
        <w:ind w:right="125"/>
        <w:jc w:val="right"/>
        <w:rPr>
          <w:rFonts w:hint="eastAsia" w:ascii="黑体" w:hAnsi="黑体" w:eastAsia="黑体" w:cs="黑体"/>
          <w:spacing w:val="-2"/>
          <w:sz w:val="20"/>
          <w:szCs w:val="20"/>
        </w:rPr>
        <w:sectPr>
          <w:footerReference r:id="rId6" w:type="default"/>
          <w:type w:val="continuous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 w14:paraId="4BB35CFB">
      <w:pPr>
        <w:spacing w:before="70" w:line="188" w:lineRule="auto"/>
        <w:ind w:right="125"/>
        <w:jc w:val="right"/>
        <w:rPr>
          <w:rFonts w:hint="eastAsia" w:ascii="黑体" w:hAnsi="黑体" w:eastAsia="黑体" w:cs="黑体"/>
          <w:spacing w:val="-2"/>
          <w:sz w:val="20"/>
          <w:szCs w:val="20"/>
        </w:rPr>
        <w:sectPr>
          <w:type w:val="continuous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 w14:paraId="7A775EA5">
      <w:pPr>
        <w:spacing w:before="70" w:line="188" w:lineRule="auto"/>
        <w:ind w:right="125"/>
        <w:jc w:val="right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pacing w:val="-2"/>
          <w:sz w:val="20"/>
          <w:szCs w:val="20"/>
        </w:rPr>
        <w:t>DB61/T</w:t>
      </w:r>
      <w:r>
        <w:rPr>
          <w:rFonts w:hint="eastAsia" w:ascii="黑体" w:hAnsi="黑体" w:eastAsia="黑体" w:cs="黑体"/>
          <w:spacing w:val="24"/>
          <w:w w:val="101"/>
          <w:sz w:val="20"/>
          <w:szCs w:val="20"/>
        </w:rPr>
        <w:t xml:space="preserve">  </w:t>
      </w:r>
      <w:r>
        <w:rPr>
          <w:rFonts w:hint="eastAsia" w:ascii="黑体" w:hAnsi="黑体" w:eastAsia="黑体" w:cs="黑体"/>
          <w:spacing w:val="-2"/>
          <w:sz w:val="20"/>
          <w:szCs w:val="20"/>
        </w:rPr>
        <w:t>XXXX—XXXX</w:t>
      </w:r>
    </w:p>
    <w:p w14:paraId="2316334F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jc w:val="center"/>
        <w:textAlignment w:val="auto"/>
        <w:rPr>
          <w:rFonts w:hint="default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</w:pPr>
      <w:r>
        <w:rPr>
          <w:rFonts w:hint="default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  <w:t>牛羊无布鲁氏菌病区建设</w:t>
      </w:r>
    </w:p>
    <w:p w14:paraId="00977D7A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jc w:val="center"/>
        <w:textAlignment w:val="auto"/>
        <w:rPr>
          <w:rFonts w:hint="default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</w:pPr>
      <w:r>
        <w:rPr>
          <w:rFonts w:hint="default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  <w:t>第</w:t>
      </w:r>
      <w:r>
        <w:rPr>
          <w:rFonts w:hint="eastAsia" w:hAnsi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  <w:t>3</w:t>
      </w:r>
      <w:bookmarkStart w:id="0" w:name="_GoBack"/>
      <w:bookmarkEnd w:id="0"/>
      <w:r>
        <w:rPr>
          <w:rFonts w:hint="default" w:ascii="黑体" w:hAnsi="黑体" w:eastAsia="黑体" w:cs="黑体"/>
          <w:snapToGrid w:val="0"/>
          <w:color w:val="000000"/>
          <w:spacing w:val="9"/>
          <w:kern w:val="0"/>
          <w:sz w:val="31"/>
          <w:szCs w:val="31"/>
          <w:lang w:val="en-US" w:eastAsia="zh-CN" w:bidi="ar-SA"/>
        </w:rPr>
        <w:t>部分：检查消毒站（点）</w:t>
      </w:r>
    </w:p>
    <w:p w14:paraId="259B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Cs w:val="21"/>
        </w:rPr>
      </w:pPr>
    </w:p>
    <w:p w14:paraId="73154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1 范围</w:t>
      </w:r>
    </w:p>
    <w:p w14:paraId="25272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06843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本标准规定了牛羊非免疫无布鲁氏菌病区检查消毒站（点）的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>选址、建设、设施配置、消毒操作、运行管理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>安全环保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eastAsia="zh-CN"/>
        </w:rPr>
        <w:t>等技术要求。</w:t>
      </w:r>
    </w:p>
    <w:p w14:paraId="5DC7B2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本标准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适用于牛羊非免疫无布鲁氏菌病区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跨市（县、区）调入牛羊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及其产品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的监督管理。</w:t>
      </w:r>
    </w:p>
    <w:p w14:paraId="51049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</w:p>
    <w:p w14:paraId="072A2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 xml:space="preserve">2 规范性引用文件 </w:t>
      </w:r>
    </w:p>
    <w:p w14:paraId="6205E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</w:p>
    <w:p w14:paraId="1E61C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下列文件对于本文件的应用是必不可少的</w:t>
      </w:r>
      <w:r>
        <w:rPr>
          <w:rFonts w:hint="eastAsia" w:asciiTheme="minorEastAsia" w:hAnsiTheme="minorEastAsia" w:eastAsiaTheme="minorEastAsia" w:cstheme="minorEastAsia"/>
          <w:color w:val="000000"/>
          <w:spacing w:val="-48"/>
          <w:sz w:val="20"/>
          <w:szCs w:val="20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凡是注日期的引用文件</w:t>
      </w:r>
      <w:r>
        <w:rPr>
          <w:rFonts w:hint="eastAsia" w:asciiTheme="minorEastAsia" w:hAnsiTheme="minorEastAsia" w:eastAsiaTheme="minorEastAsia" w:cstheme="minorEastAsia"/>
          <w:color w:val="000000"/>
          <w:spacing w:val="-48"/>
          <w:sz w:val="20"/>
          <w:szCs w:val="20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仅所注日期的版本适用于本文件。凡是不注日期的引用文件，其最新版本（包括所有的修改单）适用于本文件。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 xml:space="preserve">  </w:t>
      </w:r>
    </w:p>
    <w:p w14:paraId="20B08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 xml:space="preserve">GB/T 16569-1996 《畜禽产品消毒规范》 </w:t>
      </w:r>
    </w:p>
    <w:p w14:paraId="10FE7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 xml:space="preserve">NY/T 3075-2017 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《动物防疫消毒技术规范》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 xml:space="preserve"> </w:t>
      </w:r>
    </w:p>
    <w:p w14:paraId="36A5E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 xml:space="preserve">《中华人民共和国动物防疫法》  </w:t>
      </w:r>
    </w:p>
    <w:p w14:paraId="73896E4C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>《布鲁氏菌病防控技术要点（第一版）》（疫控卫〔2022〕172号）</w:t>
      </w:r>
    </w:p>
    <w:p w14:paraId="68565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sz w:val="20"/>
          <w:szCs w:val="20"/>
        </w:rPr>
      </w:pPr>
    </w:p>
    <w:p w14:paraId="10059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3 术语和定义</w:t>
      </w:r>
    </w:p>
    <w:p w14:paraId="19286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</w:p>
    <w:p w14:paraId="156912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48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下列术语和定义适用于本文件。</w:t>
      </w:r>
    </w:p>
    <w:p w14:paraId="45B76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3.1</w:t>
      </w:r>
    </w:p>
    <w:p w14:paraId="39502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default" w:ascii="Times New Roman" w:hAnsi="Times New Roman" w:eastAsia="黑体" w:cs="Times New Roman"/>
          <w:sz w:val="20"/>
          <w:szCs w:val="20"/>
        </w:rPr>
      </w:pPr>
      <w:r>
        <w:rPr>
          <w:rFonts w:hint="default" w:ascii="Times New Roman" w:hAnsi="Times New Roman" w:eastAsia="黑体" w:cs="Times New Roman"/>
          <w:sz w:val="20"/>
          <w:szCs w:val="20"/>
        </w:rPr>
        <w:t>无布鲁氏菌病区 Brucellosis Free Areas</w:t>
      </w:r>
    </w:p>
    <w:p w14:paraId="76D21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是指具有天然屏障或者采取人工措施，在一定期限内没有发生布鲁氏菌病，并经国务院农业农村主管部门验收合格的区域，以下简称布病无疫区。</w:t>
      </w:r>
    </w:p>
    <w:p w14:paraId="53478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3.2</w:t>
      </w:r>
    </w:p>
    <w:p w14:paraId="64BCA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="Times New Roman" w:hAnsi="Times New Roman" w:eastAsia="黑体" w:cs="Times New Roman"/>
          <w:sz w:val="20"/>
          <w:szCs w:val="20"/>
        </w:rPr>
      </w:pPr>
      <w:r>
        <w:rPr>
          <w:rFonts w:hint="eastAsia" w:ascii="Times New Roman" w:hAnsi="Times New Roman" w:eastAsia="黑体" w:cs="Times New Roman"/>
          <w:sz w:val="20"/>
          <w:szCs w:val="20"/>
        </w:rPr>
        <w:t xml:space="preserve">检查消毒站（点）Inspection and Disinfection Stations (Points) </w:t>
      </w:r>
    </w:p>
    <w:p w14:paraId="6E2BB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为防止布鲁氏菌病病原进入布病无疫区，在其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边界或关键位置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设置的对进入牛羊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及其运输车辆、人员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进行检查、消毒的站（点），以达到隔离病原的目的。</w:t>
      </w:r>
    </w:p>
    <w:p w14:paraId="424E8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3.3</w:t>
      </w:r>
    </w:p>
    <w:p w14:paraId="5BC93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="Times New Roman" w:hAnsi="Times New Roman" w:eastAsia="黑体" w:cs="Times New Roman"/>
          <w:sz w:val="20"/>
          <w:szCs w:val="20"/>
        </w:rPr>
      </w:pPr>
      <w:r>
        <w:rPr>
          <w:rFonts w:hint="eastAsia" w:ascii="Times New Roman" w:hAnsi="Times New Roman" w:eastAsia="黑体" w:cs="Times New Roman"/>
          <w:sz w:val="20"/>
          <w:szCs w:val="20"/>
        </w:rPr>
        <w:t>检查 Inspection</w:t>
      </w:r>
    </w:p>
    <w:p w14:paraId="2A815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对进入牛羊布病无疫区的牛羊检疫证明等进行查验。</w:t>
      </w:r>
    </w:p>
    <w:p w14:paraId="326F9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3.4</w:t>
      </w:r>
    </w:p>
    <w:p w14:paraId="7CCD8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="Times New Roman" w:hAnsi="Times New Roman" w:eastAsia="黑体" w:cs="Times New Roman"/>
          <w:sz w:val="20"/>
          <w:szCs w:val="20"/>
        </w:rPr>
      </w:pPr>
      <w:r>
        <w:rPr>
          <w:rFonts w:hint="eastAsia" w:ascii="Times New Roman" w:hAnsi="Times New Roman" w:eastAsia="黑体" w:cs="Times New Roman"/>
          <w:sz w:val="20"/>
          <w:szCs w:val="20"/>
        </w:rPr>
        <w:t>消毒  Disinfection</w:t>
      </w:r>
    </w:p>
    <w:p w14:paraId="2E38E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为预防、控制布鲁氏菌病病原进入布病无疫区，对经检查消毒站点进入的牛羊运输工具等采取物理、化学和生物方法，以杀灭或清除致病病原微生物或其他有害微生物，切断疫病传播途径的一种防疫措施。</w:t>
      </w:r>
    </w:p>
    <w:p w14:paraId="3FC36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4 调入原则</w:t>
      </w:r>
    </w:p>
    <w:p w14:paraId="4959D7F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4.1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>禁止从布病高风险区（免疫区）向低风险区（非免疫区）调运。</w:t>
      </w:r>
    </w:p>
    <w:p w14:paraId="4D39B834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4.2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  <w:t xml:space="preserve"> 应当从布病无疫区或者省级以上的布病净化场调入。</w:t>
      </w:r>
    </w:p>
    <w:p w14:paraId="0B189002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4.3 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  <w:t>跨省调入的牛羊需经过指定通道运输，跨市（县、区）调入的须经过指定消毒站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  <w:t>点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  <w:t xml:space="preserve">运输。 </w:t>
      </w:r>
    </w:p>
    <w:p w14:paraId="51012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</w:p>
    <w:p w14:paraId="545E5A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5 检查消毒站（点）建设</w:t>
      </w:r>
    </w:p>
    <w:p w14:paraId="7A7BC6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</w:p>
    <w:p w14:paraId="31864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5.</w:t>
      </w:r>
      <w:r>
        <w:rPr>
          <w:rFonts w:hint="eastAsia" w:ascii="黑体" w:hAnsi="黑体" w:eastAsia="黑体" w:cs="黑体"/>
          <w:sz w:val="20"/>
          <w:szCs w:val="20"/>
        </w:rPr>
        <w:t xml:space="preserve">1 选址要求 </w:t>
      </w:r>
    </w:p>
    <w:p w14:paraId="753F0B08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5.1.1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应设在无疫区边界主要交通路口、畜禽交易市场附近等关键位置。  </w:t>
      </w:r>
    </w:p>
    <w:p w14:paraId="52BF8265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5.1.2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远离居民区和水源地，避免对环境和居民生活造成影响。  </w:t>
      </w:r>
    </w:p>
    <w:p w14:paraId="30648B3F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5.2. 布局要求</w:t>
      </w:r>
    </w:p>
    <w:p w14:paraId="122CB0B9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5.2.1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分为车辆消毒区、人员消毒区及管理用房等功能分区。  </w:t>
      </w:r>
    </w:p>
    <w:p w14:paraId="4D113779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5.2.2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各功能区应布局合理，避免交叉污染。  </w:t>
      </w:r>
    </w:p>
    <w:p w14:paraId="71853BEC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5.3. 设施配置</w:t>
      </w:r>
    </w:p>
    <w:p w14:paraId="56A7BC6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5.3.1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车辆消毒区：配备高压冲洗设备、喷雾消毒设备、消毒池等。  </w:t>
      </w:r>
    </w:p>
    <w:p w14:paraId="41FF2B6F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color w:val="0000FF"/>
          <w:kern w:val="2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5.3.2</w:t>
      </w:r>
      <w:r>
        <w:rPr>
          <w:rFonts w:hint="eastAsia" w:asciiTheme="minorEastAsia" w:hAnsiTheme="minorEastAsia" w:eastAsiaTheme="minorEastAsia" w:cstheme="minorEastAsia"/>
          <w:color w:val="0000FF"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人员消毒区：配备消毒垫、洗手消毒设备、防护用品等。  </w:t>
      </w:r>
    </w:p>
    <w:p w14:paraId="13FE17F3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5.3.3</w:t>
      </w:r>
      <w:r>
        <w:rPr>
          <w:rFonts w:hint="eastAsia" w:asciiTheme="minorEastAsia" w:hAnsiTheme="minorEastAsia" w:eastAsiaTheme="minorEastAsia" w:cstheme="minorEastAsia"/>
          <w:color w:val="0000FF"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 xml:space="preserve">管理用房：包括办公室、消毒剂储存室、监控室等。  </w:t>
      </w:r>
    </w:p>
    <w:p w14:paraId="7F00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</w:p>
    <w:p w14:paraId="534E4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6工作</w:t>
      </w:r>
      <w:r>
        <w:rPr>
          <w:rFonts w:hint="eastAsia" w:ascii="黑体" w:hAnsi="黑体" w:eastAsia="黑体" w:cs="黑体"/>
          <w:sz w:val="20"/>
          <w:szCs w:val="20"/>
        </w:rPr>
        <w:t>程序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</w:p>
    <w:p w14:paraId="21A91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784BCB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="黑体" w:hAnsi="黑体" w:eastAsia="黑体" w:cs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6</w:t>
      </w:r>
      <w:r>
        <w:rPr>
          <w:rFonts w:hint="eastAsia" w:ascii="黑体" w:hAnsi="黑体" w:eastAsia="黑体" w:cs="黑体"/>
          <w:sz w:val="20"/>
          <w:szCs w:val="20"/>
        </w:rPr>
        <w:t>.1 查证</w:t>
      </w:r>
    </w:p>
    <w:p w14:paraId="5268F21F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6.1.1  牛羊</w:t>
      </w:r>
    </w:p>
    <w:p w14:paraId="061C75E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>查验动物检疫证明、畜禽标识、运输车辆备案证明和布鲁氏菌病抗体检测阴性报告。</w:t>
      </w:r>
    </w:p>
    <w:p w14:paraId="218B7707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6.1.2  牛羊产品</w:t>
      </w:r>
    </w:p>
    <w:p w14:paraId="5648157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>查验动物检疫证明和检疫验讫标识。</w:t>
      </w:r>
    </w:p>
    <w:p w14:paraId="4ADDE237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6.1.3  检查证明真伪</w:t>
      </w:r>
    </w:p>
    <w:p w14:paraId="27846968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6.1.3.1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/>
        </w:rPr>
        <w:t>通过“陕西智慧动监”或“中国兽医网”查验动物检疫证明真伪。</w:t>
      </w:r>
    </w:p>
    <w:p w14:paraId="330E05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6.1.3.2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通过“陕西智慧动监”或“牧运通”查验动物运输车辆是否备案。</w:t>
      </w:r>
    </w:p>
    <w:p w14:paraId="24F59370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6.2  验物 </w:t>
      </w:r>
    </w:p>
    <w:p w14:paraId="48FAA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ind w:firstLine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6.2.1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>检查牛羊运输数量、畜禽标识号码、运输车辆牌号与动物检疫证明上的内容是否一致，检查运输车辆与车辆备案表一致。</w:t>
      </w:r>
    </w:p>
    <w:p w14:paraId="74EE8F6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6</w:t>
      </w:r>
      <w:r>
        <w:rPr>
          <w:rFonts w:hint="eastAsia" w:ascii="黑体" w:hAnsi="黑体" w:eastAsia="黑体" w:cs="黑体"/>
          <w:sz w:val="20"/>
          <w:szCs w:val="20"/>
        </w:rPr>
        <w:t>.2.2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检查牛羊产品运输数量、检疫验讫标识等与动物检疫证明上的内容是否一致。</w:t>
      </w:r>
    </w:p>
    <w:p w14:paraId="6B3F2034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 消毒</w:t>
      </w:r>
    </w:p>
    <w:p w14:paraId="47081E82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6.3.1车辆消毒</w:t>
      </w:r>
    </w:p>
    <w:p w14:paraId="7F40E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ind w:firstLine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6.3.1.1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 xml:space="preserve">药物选择：选择消毒能力强、易溶于水、不腐蚀车体、不残留异味和毒性的药品，常用药物、适用对象及消毒方法见附录A。 </w:t>
      </w:r>
    </w:p>
    <w:p w14:paraId="4D5E9C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6.3.1.2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消毒程序：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运输车辆在装前卸后应遵循清扫、洗刷、消毒程序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车辆进入消毒区后，使用高压水枪冲洗车身和轮胎。使用喷雾设备对车辆进行全面消毒，重点喷洒轮胎、底盘等部位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。</w:t>
      </w:r>
    </w:p>
    <w:p w14:paraId="1B80AA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6.3.1.3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消毒要求：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消毒药品要达到规定浓度和单位用药量（1000 ml/㎡）消毒药品喷洒均匀，达到车体挂水珠。消毒后车辆需停留5-10分钟，确保消毒效果。 </w:t>
      </w:r>
    </w:p>
    <w:p w14:paraId="28865ED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6.3.1.4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无害化处理：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粪便、垫草、污物应卸载在指定地点进行无害化处理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。</w:t>
      </w:r>
    </w:p>
    <w:p w14:paraId="082F1F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6.3.1.5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消毒记录：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在《动物检疫合格证明》上填写消毒药品名称、消毒方法。 </w:t>
      </w:r>
    </w:p>
    <w:p w14:paraId="7569643F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20"/>
        <w:ind w:firstLine="0" w:firstLineChars="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6.3.2  人员消毒</w:t>
      </w:r>
    </w:p>
    <w:p w14:paraId="335A9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color w:val="0000FF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6.3.2.1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>人员进入消毒区后，踩踏消毒垫对鞋底进行消毒。</w:t>
      </w: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FF"/>
          <w:sz w:val="20"/>
          <w:szCs w:val="20"/>
        </w:rPr>
        <w:t xml:space="preserve"> </w:t>
      </w:r>
    </w:p>
    <w:p w14:paraId="034550E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6.3.2.2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使用洗手消毒设备对手部进行消毒。  </w:t>
      </w:r>
    </w:p>
    <w:p w14:paraId="048C278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6.3.2.3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必要时更换防护服。  </w:t>
      </w:r>
    </w:p>
    <w:p w14:paraId="7CB95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6.3.3  消毒频率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 xml:space="preserve">  </w:t>
      </w:r>
    </w:p>
    <w:p w14:paraId="7B033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6.3.3.1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eastAsia="zh-CN"/>
        </w:rPr>
        <w:t>运输牛羊的车辆、人员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每次进出无疫区均需进行消毒。  </w:t>
      </w:r>
    </w:p>
    <w:p w14:paraId="0260EE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6.3.3.2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 消毒设施每日工作结束后应进行清洁和消毒。 </w:t>
      </w:r>
    </w:p>
    <w:p w14:paraId="7B9DB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</w:p>
    <w:p w14:paraId="6AFD0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  结果处理 </w:t>
      </w:r>
    </w:p>
    <w:p w14:paraId="27B81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</w:p>
    <w:p w14:paraId="0A366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7.1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检查合格的，对运载车辆进行消毒，并在动物检疫证明上签章后放行。 </w:t>
      </w:r>
    </w:p>
    <w:p w14:paraId="020D9F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7.2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从高风险区域（免疫区）引入的牛羊直接劝返。</w:t>
      </w:r>
    </w:p>
    <w:p w14:paraId="498AE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125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7.3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检查不合格的，直接劝返或者移交县级动物卫生监督机构按以下规定处理：</w:t>
      </w:r>
    </w:p>
    <w:p w14:paraId="17C4B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188" w:lineRule="auto"/>
        <w:ind w:right="125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7.3.1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对证物不符、没有《动物检疫合格证明》的，按规定实施处罚后，符合补检条件的按规定补检； </w:t>
      </w:r>
    </w:p>
    <w:p w14:paraId="3AB0B6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7.3.2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对应当加施畜禽标识而没有畜禽标识的，依法处罚； </w:t>
      </w:r>
    </w:p>
    <w:p w14:paraId="031E32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7.3.3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对标识不能识读的，应向原出证地动物卫生监督机构了解情况，按规定处理。原出证地动物卫生监督机构能说明情况的，放行；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br w:type="textWrapping"/>
      </w: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7.3.4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对动物检疫合格证明填写不规范，但其它方面均符合要求的，通报原签发地动物卫生监督机构后，签章注明予以放行。 </w:t>
      </w:r>
    </w:p>
    <w:p w14:paraId="115A3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7.4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出现下列情况，由县级动物卫生监督机构按规定处理：</w:t>
      </w:r>
    </w:p>
    <w:p w14:paraId="1CB2A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7.4.1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病死及死因不明动物尸体要在动物卫生监督机构监督下按《病死及死因不明动物处置办法（试行）》进行处理；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 xml:space="preserve"> </w:t>
      </w:r>
    </w:p>
    <w:p w14:paraId="01D5ED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7.4.2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对运载染疫或疑似染疫动物及动物产品的车辆实施卸后消毒、清扫、再消毒，30min 后热洗刷，实施第三次消毒。 </w:t>
      </w:r>
    </w:p>
    <w:p w14:paraId="2F8FF9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7.4.3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疑似口蹄疫等重大动物疫情的，应立即终止运输，对动物、运输工具等采取临时隔离措施，对污染的场所和物品进行消毒，并按《重大动物疫情应急条例》及时上报及处理。 </w:t>
      </w:r>
    </w:p>
    <w:p w14:paraId="34724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</w:p>
    <w:p w14:paraId="4E923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8 安全与环保</w:t>
      </w:r>
    </w:p>
    <w:p w14:paraId="07AEB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</w:p>
    <w:p w14:paraId="18B08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8.1安全要求</w:t>
      </w:r>
    </w:p>
    <w:p w14:paraId="0662A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8.1.1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消毒操作人员应严格遵守操作规程，避免消毒剂接触皮肤和眼睛。  </w:t>
      </w:r>
    </w:p>
    <w:p w14:paraId="4EA49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color w:val="auto"/>
          <w:kern w:val="2"/>
          <w:sz w:val="20"/>
          <w:szCs w:val="20"/>
          <w:lang w:val="en-US" w:eastAsia="zh-CN" w:bidi="ar-SA"/>
        </w:rPr>
        <w:t xml:space="preserve">8.1.2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消毒剂储存室应通风良好，远离火源和热源。  </w:t>
      </w:r>
    </w:p>
    <w:p w14:paraId="7545F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8.2 环保要求   </w:t>
      </w:r>
    </w:p>
    <w:p w14:paraId="46584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8.2.1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 xml:space="preserve">消毒废液应集中收集，经处理后排放，避免污染环境。  </w:t>
      </w:r>
    </w:p>
    <w:p w14:paraId="3E3B1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8.2.2</w:t>
      </w:r>
      <w:r>
        <w:rPr>
          <w:rFonts w:hint="eastAsia" w:asciiTheme="minorEastAsia" w:hAnsiTheme="minorEastAsia" w:eastAsiaTheme="minorEastAsia" w:cstheme="minorEastAsia"/>
          <w:color w:val="0000FF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废弃的消毒剂包装物应按照危险废物处理要求进行处置。  </w:t>
      </w:r>
    </w:p>
    <w:p w14:paraId="05663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0000FF"/>
          <w:sz w:val="20"/>
          <w:szCs w:val="20"/>
          <w:lang w:val="en-US" w:eastAsia="zh-CN"/>
        </w:rPr>
      </w:pPr>
    </w:p>
    <w:p w14:paraId="1D14F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 运行管理</w:t>
      </w:r>
    </w:p>
    <w:p w14:paraId="61007B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0000FF"/>
          <w:sz w:val="20"/>
          <w:szCs w:val="20"/>
        </w:rPr>
      </w:pPr>
    </w:p>
    <w:p w14:paraId="2DE02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9.1 人员管理</w:t>
      </w:r>
    </w:p>
    <w:p w14:paraId="48764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</w:t>
      </w:r>
      <w:r>
        <w:rPr>
          <w:rFonts w:hint="eastAsia" w:ascii="黑体" w:hAnsi="黑体" w:eastAsia="黑体" w:cs="黑体"/>
          <w:color w:val="auto"/>
          <w:kern w:val="2"/>
          <w:sz w:val="20"/>
          <w:szCs w:val="20"/>
          <w:lang w:val="en-US" w:eastAsia="zh-CN" w:bidi="ar-SA"/>
        </w:rPr>
        <w:t xml:space="preserve">.1.1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 xml:space="preserve">消毒站（点）工作人员应经过专业培训，熟悉消毒操作流程和防护要求。  </w:t>
      </w:r>
    </w:p>
    <w:p w14:paraId="4C92F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20"/>
          <w:szCs w:val="20"/>
          <w:lang w:val="en-US" w:eastAsia="zh-CN" w:bidi="ar-SA"/>
        </w:rPr>
        <w:t xml:space="preserve">9.1.2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 xml:space="preserve">工作人员应穿戴防护服、口罩、手套等防护用品。  </w:t>
      </w:r>
    </w:p>
    <w:p w14:paraId="55196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9.2. 监督检查 </w:t>
      </w:r>
    </w:p>
    <w:p w14:paraId="3894A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9.2.1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 xml:space="preserve">畜牧兽医部门应定期对消毒站（点）的运行情况进行监督检查。  </w:t>
      </w:r>
    </w:p>
    <w:p w14:paraId="65B56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9.2.2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 xml:space="preserve"> 对发现的问题及时整改，确保消毒站（点）正常运行。</w:t>
      </w:r>
    </w:p>
    <w:p w14:paraId="7E6CD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 xml:space="preserve">9.3 记录管理  </w:t>
      </w:r>
    </w:p>
    <w:p w14:paraId="7BD82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9.3.1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-SA"/>
        </w:rPr>
        <w:t xml:space="preserve">建立检查消毒记录台账，填写工作日志、检查记录、消毒记录和无害化处理等记录。   </w:t>
      </w:r>
      <w:r>
        <w:rPr>
          <w:rFonts w:hint="eastAsia" w:ascii="黑体" w:hAnsi="黑体" w:eastAsia="黑体" w:cs="黑体"/>
          <w:kern w:val="2"/>
          <w:sz w:val="20"/>
          <w:szCs w:val="20"/>
          <w:lang w:val="en-US" w:eastAsia="zh-CN" w:bidi="ar-SA"/>
        </w:rPr>
        <w:t>9.3.2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定期对消毒记录进行检查和归档，保存时间不少于36个月。  </w:t>
      </w:r>
    </w:p>
    <w:p w14:paraId="6F73F02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jc w:val="center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19CC4E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br w:type="page"/>
      </w:r>
    </w:p>
    <w:p w14:paraId="14C3D354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附  录  A</w:t>
      </w:r>
    </w:p>
    <w:p w14:paraId="7F6AD4EF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（资料性附录）</w:t>
      </w:r>
    </w:p>
    <w:p w14:paraId="7873E08D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常用药物、适用对象及消毒方法</w:t>
      </w:r>
    </w:p>
    <w:p w14:paraId="05AA9EB3">
      <w:pPr>
        <w:spacing w:line="360" w:lineRule="auto"/>
        <w:jc w:val="center"/>
        <w:rPr>
          <w:rFonts w:ascii="黑体" w:hAnsi="黑体" w:eastAsia="黑体" w:cs="黑体"/>
          <w:sz w:val="22"/>
          <w:szCs w:val="22"/>
        </w:rPr>
      </w:pPr>
    </w:p>
    <w:p w14:paraId="74B0D06C">
      <w:pPr>
        <w:spacing w:line="360" w:lineRule="auto"/>
        <w:jc w:val="center"/>
        <w:rPr>
          <w:rFonts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color w:val="auto"/>
          <w:sz w:val="22"/>
          <w:szCs w:val="22"/>
        </w:rPr>
        <w:t>A.1 常用药物、适用对象及消毒方法</w:t>
      </w:r>
    </w:p>
    <w:tbl>
      <w:tblPr>
        <w:tblStyle w:val="7"/>
        <w:tblW w:w="100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4305"/>
        <w:gridCol w:w="4559"/>
      </w:tblGrid>
      <w:tr w14:paraId="3381A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F004E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药物名称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9D7540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适用对象</w:t>
            </w:r>
          </w:p>
        </w:tc>
        <w:tc>
          <w:tcPr>
            <w:tcW w:w="4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FFF6D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消毒方法</w:t>
            </w:r>
          </w:p>
        </w:tc>
      </w:tr>
      <w:tr w14:paraId="6E558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2865377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氢氧化钠</w:t>
            </w:r>
          </w:p>
          <w:p w14:paraId="46DB15D5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（苛性钠）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2C97D15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运输动物及动物产品及进出污染区的车辆</w:t>
            </w:r>
          </w:p>
        </w:tc>
        <w:tc>
          <w:tcPr>
            <w:tcW w:w="4559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1EBEE9">
            <w:pPr>
              <w:ind w:firstLine="200" w:firstLineChars="100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 xml:space="preserve">配成2%热水溶液喷洒消毒。疑似炭疽污染区，将浓度提高到3%～5% </w:t>
            </w:r>
          </w:p>
        </w:tc>
      </w:tr>
      <w:tr w14:paraId="47655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170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8555AF0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过氧乙酸</w:t>
            </w:r>
          </w:p>
        </w:tc>
        <w:tc>
          <w:tcPr>
            <w:tcW w:w="4305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76CC29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运输动物及动物产品及进出污染区的车辆</w:t>
            </w:r>
          </w:p>
        </w:tc>
        <w:tc>
          <w:tcPr>
            <w:tcW w:w="4559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BF531D">
            <w:pPr>
              <w:ind w:firstLine="200" w:firstLineChars="100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 xml:space="preserve">0.5%溶液喷洒消毒（现用现配） </w:t>
            </w:r>
          </w:p>
        </w:tc>
      </w:tr>
      <w:tr w14:paraId="7F75C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EB8FC9C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次氯酸钠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D04E57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运输动物及动物产品及进出污染区的车辆</w:t>
            </w:r>
          </w:p>
        </w:tc>
        <w:tc>
          <w:tcPr>
            <w:tcW w:w="4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CE3761D">
            <w:pPr>
              <w:ind w:firstLine="200" w:firstLineChars="100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 xml:space="preserve">有效氯浓度为 300 mg/L 的溶液喷洒消毒。疑似炭疽污染区，将有效氯浓度提高到600 mg/L </w:t>
            </w:r>
          </w:p>
        </w:tc>
      </w:tr>
      <w:tr w14:paraId="7BCD5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8ED5D2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戊二醛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68E5144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运输动物及动物产品及进出污染区的车辆</w:t>
            </w:r>
          </w:p>
        </w:tc>
        <w:tc>
          <w:tcPr>
            <w:tcW w:w="4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277B0A6">
            <w:pPr>
              <w:ind w:firstLine="200" w:firstLineChars="100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 xml:space="preserve">2%戊二醛溶液喷洒消毒。疑似非洲猪瘟污染区，将浓度提高到5% </w:t>
            </w:r>
          </w:p>
        </w:tc>
      </w:tr>
    </w:tbl>
    <w:p w14:paraId="4B342236">
      <w:pPr>
        <w:ind w:firstLine="420"/>
        <w:rPr>
          <w:rFonts w:ascii="宋体" w:hAnsi="宋体" w:cs="宋体"/>
          <w:sz w:val="24"/>
        </w:rPr>
      </w:pPr>
    </w:p>
    <w:p w14:paraId="17426884">
      <w:pPr>
        <w:spacing w:line="360" w:lineRule="auto"/>
        <w:jc w:val="center"/>
        <w:rPr>
          <w:rFonts w:ascii="宋体" w:hAnsi="宋体" w:cs="宋体"/>
          <w:sz w:val="24"/>
        </w:rPr>
      </w:pPr>
    </w:p>
    <w:p w14:paraId="34D34116">
      <w:pPr>
        <w:rPr>
          <w:rFonts w:ascii="JeqswO71+SimHei" w:hAnsi="JeqswO71+SimHei" w:eastAsia="JeqswO71+SimHei"/>
          <w:color w:val="000000"/>
          <w:sz w:val="24"/>
          <w:szCs w:val="32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 w14:paraId="5371C661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附  录  B</w:t>
      </w:r>
    </w:p>
    <w:p w14:paraId="679719F2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（规范性附录）</w:t>
      </w:r>
    </w:p>
    <w:p w14:paraId="0549BF37">
      <w:pPr>
        <w:pStyle w:val="2"/>
        <w:widowControl/>
        <w:kinsoku w:val="0"/>
        <w:autoSpaceDE w:val="0"/>
        <w:autoSpaceDN w:val="0"/>
        <w:adjustRightInd w:val="0"/>
        <w:snapToGrid w:val="0"/>
        <w:spacing w:before="65" w:after="0" w:line="230" w:lineRule="auto"/>
        <w:jc w:val="center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0"/>
          <w:szCs w:val="20"/>
          <w:lang w:eastAsia="en-US"/>
        </w:rPr>
        <w:t>检查消毒站（点）检查消毒记录</w:t>
      </w:r>
    </w:p>
    <w:p w14:paraId="037F6643">
      <w:pPr>
        <w:spacing w:line="360" w:lineRule="auto"/>
        <w:jc w:val="center"/>
        <w:rPr>
          <w:rFonts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B.1 检查消毒站（点）检查消毒记录</w:t>
      </w:r>
    </w:p>
    <w:tbl>
      <w:tblPr>
        <w:tblStyle w:val="8"/>
        <w:tblpPr w:leftFromText="180" w:rightFromText="180" w:vertAnchor="text" w:horzAnchor="page" w:tblpXSpec="center" w:tblpY="643"/>
        <w:tblOverlap w:val="never"/>
        <w:tblW w:w="15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189"/>
        <w:gridCol w:w="1055"/>
        <w:gridCol w:w="1817"/>
        <w:gridCol w:w="1859"/>
        <w:gridCol w:w="2056"/>
        <w:gridCol w:w="2438"/>
        <w:gridCol w:w="2093"/>
        <w:gridCol w:w="1478"/>
      </w:tblGrid>
      <w:tr w14:paraId="14C4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0" w:type="dxa"/>
            <w:noWrap/>
            <w:vAlign w:val="center"/>
          </w:tcPr>
          <w:p w14:paraId="537A962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</w:t>
            </w:r>
          </w:p>
        </w:tc>
        <w:tc>
          <w:tcPr>
            <w:tcW w:w="1189" w:type="dxa"/>
            <w:noWrap/>
            <w:vAlign w:val="center"/>
          </w:tcPr>
          <w:p w14:paraId="1A04A68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动物种类</w:t>
            </w:r>
          </w:p>
        </w:tc>
        <w:tc>
          <w:tcPr>
            <w:tcW w:w="1055" w:type="dxa"/>
            <w:noWrap/>
            <w:vAlign w:val="center"/>
          </w:tcPr>
          <w:p w14:paraId="7F9753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817" w:type="dxa"/>
            <w:noWrap/>
            <w:vAlign w:val="center"/>
          </w:tcPr>
          <w:p w14:paraId="5D0A98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检疫合格证明</w:t>
            </w:r>
          </w:p>
          <w:p w14:paraId="30C5553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编号</w:t>
            </w:r>
          </w:p>
        </w:tc>
        <w:tc>
          <w:tcPr>
            <w:tcW w:w="1859" w:type="dxa"/>
            <w:noWrap/>
            <w:vAlign w:val="center"/>
          </w:tcPr>
          <w:p w14:paraId="10AD13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布病检测报告</w:t>
            </w:r>
          </w:p>
          <w:p w14:paraId="2875BA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编号</w:t>
            </w:r>
          </w:p>
        </w:tc>
        <w:tc>
          <w:tcPr>
            <w:tcW w:w="2056" w:type="dxa"/>
            <w:noWrap/>
            <w:vAlign w:val="center"/>
          </w:tcPr>
          <w:p w14:paraId="47D612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运输车辆（车牌号）</w:t>
            </w:r>
          </w:p>
        </w:tc>
        <w:tc>
          <w:tcPr>
            <w:tcW w:w="2438" w:type="dxa"/>
            <w:noWrap/>
            <w:vAlign w:val="center"/>
          </w:tcPr>
          <w:p w14:paraId="3FE1FD6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承运人及联系方式</w:t>
            </w:r>
          </w:p>
        </w:tc>
        <w:tc>
          <w:tcPr>
            <w:tcW w:w="2093" w:type="dxa"/>
            <w:noWrap/>
            <w:vAlign w:val="center"/>
          </w:tcPr>
          <w:p w14:paraId="3BBA21B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消毒方式</w:t>
            </w:r>
          </w:p>
        </w:tc>
        <w:tc>
          <w:tcPr>
            <w:tcW w:w="1478" w:type="dxa"/>
            <w:noWrap/>
            <w:vAlign w:val="center"/>
          </w:tcPr>
          <w:p w14:paraId="7C00950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检查消毒人员</w:t>
            </w:r>
          </w:p>
        </w:tc>
      </w:tr>
      <w:tr w14:paraId="2313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5E80933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9" w:type="dxa"/>
            <w:noWrap/>
            <w:vAlign w:val="center"/>
          </w:tcPr>
          <w:p w14:paraId="1EA92860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055" w:type="dxa"/>
            <w:noWrap/>
            <w:vAlign w:val="center"/>
          </w:tcPr>
          <w:p w14:paraId="7DC058A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7" w:type="dxa"/>
            <w:noWrap/>
            <w:vAlign w:val="center"/>
          </w:tcPr>
          <w:p w14:paraId="71CFEF7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59" w:type="dxa"/>
            <w:noWrap/>
            <w:vAlign w:val="center"/>
          </w:tcPr>
          <w:p w14:paraId="065EB6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56" w:type="dxa"/>
            <w:noWrap/>
            <w:vAlign w:val="center"/>
          </w:tcPr>
          <w:p w14:paraId="03DE015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noWrap/>
            <w:vAlign w:val="center"/>
          </w:tcPr>
          <w:p w14:paraId="468152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93" w:type="dxa"/>
            <w:noWrap/>
            <w:vAlign w:val="center"/>
          </w:tcPr>
          <w:p w14:paraId="3C474ED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8" w:type="dxa"/>
            <w:noWrap/>
            <w:vAlign w:val="center"/>
          </w:tcPr>
          <w:p w14:paraId="7013D1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2A6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6CC04CF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89" w:type="dxa"/>
            <w:noWrap/>
            <w:vAlign w:val="center"/>
          </w:tcPr>
          <w:p w14:paraId="17EB5A7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055" w:type="dxa"/>
            <w:noWrap/>
            <w:vAlign w:val="center"/>
          </w:tcPr>
          <w:p w14:paraId="6C99866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17" w:type="dxa"/>
            <w:noWrap/>
            <w:vAlign w:val="center"/>
          </w:tcPr>
          <w:p w14:paraId="0AB52190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59" w:type="dxa"/>
            <w:noWrap/>
            <w:vAlign w:val="center"/>
          </w:tcPr>
          <w:p w14:paraId="02ECD0F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056" w:type="dxa"/>
            <w:noWrap/>
            <w:vAlign w:val="center"/>
          </w:tcPr>
          <w:p w14:paraId="64DAE24E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noWrap/>
            <w:vAlign w:val="center"/>
          </w:tcPr>
          <w:p w14:paraId="4504CA5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093" w:type="dxa"/>
            <w:noWrap/>
            <w:vAlign w:val="center"/>
          </w:tcPr>
          <w:p w14:paraId="1ACD69B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78" w:type="dxa"/>
            <w:noWrap/>
            <w:vAlign w:val="center"/>
          </w:tcPr>
          <w:p w14:paraId="1A20B02B">
            <w:pPr>
              <w:rPr>
                <w:rFonts w:ascii="宋体" w:hAnsi="宋体" w:cs="宋体"/>
                <w:szCs w:val="21"/>
              </w:rPr>
            </w:pPr>
          </w:p>
        </w:tc>
      </w:tr>
      <w:tr w14:paraId="0D53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7DCC629B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16676A86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07F076A2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4D872E57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032C23A6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0E51649F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5C8081EA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6C897E80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4A9EDE6C">
            <w:pPr>
              <w:rPr>
                <w:sz w:val="48"/>
                <w:szCs w:val="48"/>
              </w:rPr>
            </w:pPr>
          </w:p>
        </w:tc>
      </w:tr>
      <w:tr w14:paraId="5E6D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6E9E858C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6329F6C6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2A018B89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51CFC6DB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0193360C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3A4DD2B9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52A82418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51F1D34F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3267187F">
            <w:pPr>
              <w:rPr>
                <w:sz w:val="48"/>
                <w:szCs w:val="48"/>
              </w:rPr>
            </w:pPr>
          </w:p>
        </w:tc>
      </w:tr>
      <w:tr w14:paraId="254D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6E2D07DF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3C950F17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3959469F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14F1C85E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008F8C26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62A648CF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2CB03A99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2B142D74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0516D870">
            <w:pPr>
              <w:rPr>
                <w:sz w:val="48"/>
                <w:szCs w:val="48"/>
              </w:rPr>
            </w:pPr>
          </w:p>
        </w:tc>
      </w:tr>
      <w:tr w14:paraId="5BBE3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77272FB0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0F09EFB6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3B0992C3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7E1FCAE7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4B381A79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5D0DE779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2A7FB12C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437180D6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7E5F686F">
            <w:pPr>
              <w:rPr>
                <w:sz w:val="48"/>
                <w:szCs w:val="48"/>
              </w:rPr>
            </w:pPr>
          </w:p>
        </w:tc>
      </w:tr>
      <w:tr w14:paraId="59A3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690E7B83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538C12CD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3CA69418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0B8F614B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5AAA7456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34645C4A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44FBC0C5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42BD86CE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6F2DE5AE">
            <w:pPr>
              <w:rPr>
                <w:sz w:val="48"/>
                <w:szCs w:val="48"/>
              </w:rPr>
            </w:pPr>
          </w:p>
        </w:tc>
      </w:tr>
      <w:tr w14:paraId="3A83B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170B877C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0F7B1687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7BE8DC2D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52AC4600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492980DE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28D51FE4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621F2013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3D7FD7D0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5D98ED38">
            <w:pPr>
              <w:rPr>
                <w:sz w:val="48"/>
                <w:szCs w:val="48"/>
              </w:rPr>
            </w:pPr>
          </w:p>
        </w:tc>
      </w:tr>
      <w:tr w14:paraId="0464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1B83CBD4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301C2DA0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0717256F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1875851C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7E22BB04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389AEEDB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46D36E85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4ECA5A01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78BFB6C2">
            <w:pPr>
              <w:rPr>
                <w:sz w:val="48"/>
                <w:szCs w:val="48"/>
              </w:rPr>
            </w:pPr>
          </w:p>
        </w:tc>
      </w:tr>
      <w:tr w14:paraId="5AD0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0" w:type="dxa"/>
            <w:noWrap/>
            <w:vAlign w:val="center"/>
          </w:tcPr>
          <w:p w14:paraId="03588910">
            <w:pPr>
              <w:rPr>
                <w:sz w:val="48"/>
                <w:szCs w:val="48"/>
              </w:rPr>
            </w:pPr>
          </w:p>
        </w:tc>
        <w:tc>
          <w:tcPr>
            <w:tcW w:w="1189" w:type="dxa"/>
            <w:noWrap/>
            <w:vAlign w:val="center"/>
          </w:tcPr>
          <w:p w14:paraId="60B99EBC">
            <w:pPr>
              <w:rPr>
                <w:sz w:val="48"/>
                <w:szCs w:val="48"/>
              </w:rPr>
            </w:pPr>
          </w:p>
        </w:tc>
        <w:tc>
          <w:tcPr>
            <w:tcW w:w="1055" w:type="dxa"/>
            <w:noWrap/>
            <w:vAlign w:val="center"/>
          </w:tcPr>
          <w:p w14:paraId="3E8D0A29">
            <w:pPr>
              <w:rPr>
                <w:sz w:val="48"/>
                <w:szCs w:val="48"/>
              </w:rPr>
            </w:pPr>
          </w:p>
        </w:tc>
        <w:tc>
          <w:tcPr>
            <w:tcW w:w="1817" w:type="dxa"/>
            <w:noWrap/>
            <w:vAlign w:val="center"/>
          </w:tcPr>
          <w:p w14:paraId="572DCF21">
            <w:pPr>
              <w:rPr>
                <w:sz w:val="48"/>
                <w:szCs w:val="48"/>
              </w:rPr>
            </w:pPr>
          </w:p>
        </w:tc>
        <w:tc>
          <w:tcPr>
            <w:tcW w:w="1859" w:type="dxa"/>
            <w:noWrap/>
            <w:vAlign w:val="center"/>
          </w:tcPr>
          <w:p w14:paraId="6AB00698">
            <w:pPr>
              <w:rPr>
                <w:sz w:val="48"/>
                <w:szCs w:val="48"/>
              </w:rPr>
            </w:pPr>
          </w:p>
        </w:tc>
        <w:tc>
          <w:tcPr>
            <w:tcW w:w="2056" w:type="dxa"/>
            <w:noWrap/>
            <w:vAlign w:val="center"/>
          </w:tcPr>
          <w:p w14:paraId="674A6E11">
            <w:pPr>
              <w:rPr>
                <w:sz w:val="48"/>
                <w:szCs w:val="48"/>
              </w:rPr>
            </w:pPr>
          </w:p>
        </w:tc>
        <w:tc>
          <w:tcPr>
            <w:tcW w:w="2438" w:type="dxa"/>
            <w:noWrap/>
            <w:vAlign w:val="center"/>
          </w:tcPr>
          <w:p w14:paraId="434B0689">
            <w:pPr>
              <w:rPr>
                <w:sz w:val="48"/>
                <w:szCs w:val="48"/>
              </w:rPr>
            </w:pPr>
          </w:p>
        </w:tc>
        <w:tc>
          <w:tcPr>
            <w:tcW w:w="2093" w:type="dxa"/>
            <w:noWrap/>
            <w:vAlign w:val="center"/>
          </w:tcPr>
          <w:p w14:paraId="0F7E044D">
            <w:pPr>
              <w:rPr>
                <w:sz w:val="48"/>
                <w:szCs w:val="48"/>
              </w:rPr>
            </w:pPr>
          </w:p>
        </w:tc>
        <w:tc>
          <w:tcPr>
            <w:tcW w:w="1478" w:type="dxa"/>
            <w:noWrap/>
            <w:vAlign w:val="center"/>
          </w:tcPr>
          <w:p w14:paraId="1A3CD69A">
            <w:pPr>
              <w:rPr>
                <w:sz w:val="48"/>
                <w:szCs w:val="48"/>
              </w:rPr>
            </w:pPr>
          </w:p>
        </w:tc>
      </w:tr>
    </w:tbl>
    <w:p w14:paraId="48284BA2">
      <w:pPr>
        <w:spacing w:line="360" w:lineRule="auto"/>
        <w:jc w:val="center"/>
        <w:rPr>
          <w:rFonts w:ascii="宋体" w:hAnsi="宋体" w:cs="宋体"/>
          <w:sz w:val="24"/>
          <w:u w:val="single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4008120</wp:posOffset>
                </wp:positionV>
                <wp:extent cx="3581400" cy="0"/>
                <wp:effectExtent l="0" t="6350" r="0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9970" y="6339840"/>
                          <a:ext cx="3581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1pt;margin-top:315.6pt;height:0pt;width:282pt;z-index:251662336;mso-width-relative:page;mso-height-relative:page;" filled="f" stroked="t" coordsize="21600,21600" o:gfxdata="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0izgdkAAAALAQAADwAAAAAAAAABACAAAAAiAAAAZHJzL2Rvd25yZXYueG1sUEsBAhQAFAAA&#10;AAgAh07iQAnqLlbuAQAAvgMAAA4AAAAAAAAAAQAgAAAAKAEAAGRycy9lMm9Eb2MueG1sUEsFBgAA&#10;AAAGAAYAWQEAAIg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type w:val="continuous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2CHfFuNF+SimSun">
    <w:altName w:val="宋体"/>
    <w:panose1 w:val="00000000000000000000"/>
    <w:charset w:val="86"/>
    <w:family w:val="auto"/>
    <w:pitch w:val="default"/>
    <w:sig w:usb0="00000000" w:usb1="00000000" w:usb2="00000006" w:usb3="00000000" w:csb0="00040001" w:csb1="00000000"/>
  </w:font>
  <w:font w:name="JeqswO71+SimHei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3794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D42EC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D42EC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D702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E98A2">
                          <w:pPr>
                            <w:pStyle w:val="4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6E98A2">
                    <w:pPr>
                      <w:pStyle w:val="4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1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B5367">
    <w:pPr>
      <w:pStyle w:val="4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717B8">
                          <w:pPr>
                            <w:pStyle w:val="4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717B8">
                    <w:pPr>
                      <w:pStyle w:val="4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1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C079C"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CB33E4">
                          <w:pPr>
                            <w:pStyle w:val="4"/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CB33E4">
                    <w:pPr>
                      <w:pStyle w:val="4"/>
                      <w:rPr>
                        <w:rFonts w:ascii="Times New Roman" w:hAnsi="Times New Roman"/>
                        <w:sz w:val="20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0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/>
                        <w:sz w:val="20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13245">
    <w:pPr>
      <w:pStyle w:val="4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955A1A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0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955A1A">
                    <w:pPr>
                      <w:pStyle w:val="4"/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0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1"/>
      <w:suff w:val="nothing"/>
      <w:lvlText w:val="%1　"/>
      <w:lvlJc w:val="left"/>
      <w:pPr>
        <w:ind w:left="567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142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241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02796272"/>
    <w:rsid w:val="000F2395"/>
    <w:rsid w:val="001811AB"/>
    <w:rsid w:val="002D601F"/>
    <w:rsid w:val="002F005F"/>
    <w:rsid w:val="006B1353"/>
    <w:rsid w:val="00761039"/>
    <w:rsid w:val="00795254"/>
    <w:rsid w:val="00951288"/>
    <w:rsid w:val="00BD53A9"/>
    <w:rsid w:val="00FD0681"/>
    <w:rsid w:val="0224187C"/>
    <w:rsid w:val="0273787D"/>
    <w:rsid w:val="02796272"/>
    <w:rsid w:val="033F65FD"/>
    <w:rsid w:val="06AC1E40"/>
    <w:rsid w:val="08DB07BA"/>
    <w:rsid w:val="092B7994"/>
    <w:rsid w:val="09F00295"/>
    <w:rsid w:val="0D160C3F"/>
    <w:rsid w:val="0D2546FA"/>
    <w:rsid w:val="0E0A5DCA"/>
    <w:rsid w:val="0E770F85"/>
    <w:rsid w:val="0EA578A0"/>
    <w:rsid w:val="0F7A5C35"/>
    <w:rsid w:val="0FA20284"/>
    <w:rsid w:val="108B6A7A"/>
    <w:rsid w:val="145558C5"/>
    <w:rsid w:val="15610E5C"/>
    <w:rsid w:val="15C9296A"/>
    <w:rsid w:val="17372983"/>
    <w:rsid w:val="183A4128"/>
    <w:rsid w:val="1A8838CF"/>
    <w:rsid w:val="1A8962C8"/>
    <w:rsid w:val="1B522B5E"/>
    <w:rsid w:val="1BD23C9F"/>
    <w:rsid w:val="1C56667E"/>
    <w:rsid w:val="1EBA2EF4"/>
    <w:rsid w:val="23CE7442"/>
    <w:rsid w:val="24172B97"/>
    <w:rsid w:val="253908EB"/>
    <w:rsid w:val="256A4F48"/>
    <w:rsid w:val="259124D5"/>
    <w:rsid w:val="2662759C"/>
    <w:rsid w:val="26BE0759"/>
    <w:rsid w:val="276E51C4"/>
    <w:rsid w:val="28341F69"/>
    <w:rsid w:val="294F2DD3"/>
    <w:rsid w:val="2B081C3D"/>
    <w:rsid w:val="2B2A1401"/>
    <w:rsid w:val="2C1C3560"/>
    <w:rsid w:val="2E976DAE"/>
    <w:rsid w:val="2EBC1FC4"/>
    <w:rsid w:val="2F4C29CD"/>
    <w:rsid w:val="31C40E65"/>
    <w:rsid w:val="322B6DE8"/>
    <w:rsid w:val="32472899"/>
    <w:rsid w:val="32EF59BD"/>
    <w:rsid w:val="33D62126"/>
    <w:rsid w:val="36F9612C"/>
    <w:rsid w:val="388A34DF"/>
    <w:rsid w:val="394E64EA"/>
    <w:rsid w:val="3A5116E7"/>
    <w:rsid w:val="3AC23405"/>
    <w:rsid w:val="3B3553B9"/>
    <w:rsid w:val="3C0E61D6"/>
    <w:rsid w:val="3CD13DD3"/>
    <w:rsid w:val="3FCA4DA4"/>
    <w:rsid w:val="400E2C48"/>
    <w:rsid w:val="413A6285"/>
    <w:rsid w:val="414D2298"/>
    <w:rsid w:val="42A821B3"/>
    <w:rsid w:val="460724C5"/>
    <w:rsid w:val="470152B5"/>
    <w:rsid w:val="47A3011A"/>
    <w:rsid w:val="48033BA3"/>
    <w:rsid w:val="48063EFB"/>
    <w:rsid w:val="488A41A0"/>
    <w:rsid w:val="49192162"/>
    <w:rsid w:val="4A392FB7"/>
    <w:rsid w:val="4B500F93"/>
    <w:rsid w:val="4BFC429C"/>
    <w:rsid w:val="4D6E2F78"/>
    <w:rsid w:val="4DBE3EFF"/>
    <w:rsid w:val="5099655E"/>
    <w:rsid w:val="5349426B"/>
    <w:rsid w:val="538F7FD2"/>
    <w:rsid w:val="53F00B8B"/>
    <w:rsid w:val="545C1D7C"/>
    <w:rsid w:val="55766E6E"/>
    <w:rsid w:val="56BF4844"/>
    <w:rsid w:val="584D1CF1"/>
    <w:rsid w:val="58D02D39"/>
    <w:rsid w:val="59C16AA3"/>
    <w:rsid w:val="5B12588A"/>
    <w:rsid w:val="5BE32D83"/>
    <w:rsid w:val="5D6D6DA8"/>
    <w:rsid w:val="5EFD23AE"/>
    <w:rsid w:val="6271004E"/>
    <w:rsid w:val="63732C3E"/>
    <w:rsid w:val="650A1380"/>
    <w:rsid w:val="65F85C69"/>
    <w:rsid w:val="67A21D44"/>
    <w:rsid w:val="683A1F7D"/>
    <w:rsid w:val="68F16ADF"/>
    <w:rsid w:val="699F29DF"/>
    <w:rsid w:val="6B460C38"/>
    <w:rsid w:val="6BA37E39"/>
    <w:rsid w:val="6C696697"/>
    <w:rsid w:val="6CCE480B"/>
    <w:rsid w:val="6DBA5F2D"/>
    <w:rsid w:val="6E864E0C"/>
    <w:rsid w:val="73CE7FD2"/>
    <w:rsid w:val="79355886"/>
    <w:rsid w:val="7B386B53"/>
    <w:rsid w:val="7CD460A4"/>
    <w:rsid w:val="7CEA3B1A"/>
    <w:rsid w:val="7E7713DD"/>
    <w:rsid w:val="7EF90044"/>
    <w:rsid w:val="7EFB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oc 2"/>
    <w:basedOn w:val="1"/>
    <w:next w:val="1"/>
    <w:autoRedefine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autoRedefine/>
    <w:unhideWhenUsed/>
    <w:qFormat/>
    <w:uiPriority w:val="99"/>
    <w:rPr>
      <w:color w:val="136EC2"/>
      <w:u w:val="single"/>
    </w:rPr>
  </w:style>
  <w:style w:type="paragraph" w:customStyle="1" w:styleId="11">
    <w:name w:val="章标题"/>
    <w:next w:val="12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一级条标题"/>
    <w:next w:val="12"/>
    <w:autoRedefine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14">
    <w:name w:val="日期 Char"/>
    <w:basedOn w:val="9"/>
    <w:link w:val="3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3116</Words>
  <Characters>3679</Characters>
  <Lines>25</Lines>
  <Paragraphs>7</Paragraphs>
  <TotalTime>10</TotalTime>
  <ScaleCrop>false</ScaleCrop>
  <LinksUpToDate>false</LinksUpToDate>
  <CharactersWithSpaces>3973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2024-03-11T02:33:00Z</dcterms:created>
  <dc:creator>青青</dc:creator>
  <cp:lastModifiedBy>青青</cp:lastModifiedBy>
  <cp:lastPrinted>2025-05-21T00:13:39Z</cp:lastPrinted>
  <dcterms:modified xsi:type="dcterms:W3CDTF">2025-05-21T00:15:43Z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8350325A1F444B67B003D672D3BF5559_13</vt:lpwstr>
  </property>
  <property fmtid="{D5CDD505-2E9C-101B-9397-08002B2CF9AE}" pid="4" name="KSOTemplateDocerSaveRecord">
    <vt:lpwstr>eyJoZGlkIjoiMTFkMWRhYTQ4YTE4YWM5OWIxZWMxODc2NzJlZTAzMjQiLCJ1c2VySWQiOiI0MjIzMjA5MjAifQ==</vt:lpwstr>
  </property>
</Properties>
</file>